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026F4" w14:textId="77777777" w:rsidR="00664B84" w:rsidRDefault="00664B84" w:rsidP="00A736E2">
      <w:pPr>
        <w:pBdr>
          <w:bottom w:val="single" w:sz="4" w:space="1" w:color="auto"/>
        </w:pBdr>
        <w:outlineLvl w:val="0"/>
        <w:rPr>
          <w:b/>
        </w:rPr>
      </w:pPr>
      <w:r w:rsidRPr="004A68A9">
        <w:rPr>
          <w:b/>
        </w:rPr>
        <w:t>Grievances and Appeals Policy</w:t>
      </w:r>
    </w:p>
    <w:p w14:paraId="209313FF" w14:textId="77777777" w:rsidR="006E1F1E" w:rsidRPr="00664B84" w:rsidRDefault="006E1F1E" w:rsidP="00A736E2">
      <w:pPr>
        <w:pBdr>
          <w:bottom w:val="single" w:sz="4" w:space="1" w:color="auto"/>
        </w:pBdr>
        <w:outlineLvl w:val="0"/>
        <w:rPr>
          <w:b/>
        </w:rPr>
      </w:pPr>
      <w:r>
        <w:rPr>
          <w:b/>
        </w:rPr>
        <w:t>Effective May 1, 2018-May 1, 2019</w:t>
      </w:r>
    </w:p>
    <w:p w14:paraId="4572CE57" w14:textId="77777777" w:rsidR="00664B84" w:rsidRDefault="00664B84" w:rsidP="00A736E2">
      <w:pPr>
        <w:outlineLvl w:val="0"/>
        <w:rPr>
          <w:b/>
        </w:rPr>
      </w:pPr>
      <w:r w:rsidRPr="0054129C">
        <w:rPr>
          <w:b/>
        </w:rPr>
        <w:t>Purpose:</w:t>
      </w:r>
    </w:p>
    <w:p w14:paraId="6062BBFE" w14:textId="77777777" w:rsidR="00664B84" w:rsidRDefault="00664B84" w:rsidP="00664B84">
      <w:r>
        <w:t xml:space="preserve"> Cornerstone/Hernandez Home AFC, Inc. is committed to making all </w:t>
      </w:r>
      <w:r w:rsidR="00A736E2">
        <w:t>resident</w:t>
      </w:r>
      <w:r>
        <w:t xml:space="preserve"> feel comfortable and happy with their personal experience within the home. </w:t>
      </w:r>
    </w:p>
    <w:p w14:paraId="46D2D7B0" w14:textId="77777777" w:rsidR="00664B84" w:rsidRDefault="00664B84" w:rsidP="00664B84">
      <w:r>
        <w:t xml:space="preserve">Cornerstone/Hernandez Home AFC, Inc. residents are given a copy of the grievance and appeals policy which identifies both the informal and formal methods of filing a complaint regarding their care. </w:t>
      </w:r>
    </w:p>
    <w:p w14:paraId="21A961AB" w14:textId="07A7CC88" w:rsidR="00664B84" w:rsidRDefault="00664B84" w:rsidP="00664B84">
      <w:r>
        <w:t xml:space="preserve">The care coordinating team will ensure that the </w:t>
      </w:r>
      <w:r w:rsidR="00A736E2">
        <w:t>resident</w:t>
      </w:r>
      <w:r>
        <w:t xml:space="preserve"> is communicated the grievance policy in a way that is understandable and furthermore, they understand the process. </w:t>
      </w:r>
    </w:p>
    <w:p w14:paraId="3013E308" w14:textId="24684C32" w:rsidR="00424B9A" w:rsidRPr="00424B9A" w:rsidRDefault="00424B9A" w:rsidP="00664B84">
      <w:r>
        <w:rPr>
          <w:b/>
          <w:bCs/>
        </w:rPr>
        <w:t xml:space="preserve">Cross Reference: </w:t>
      </w:r>
      <w:r>
        <w:t>CMS 2.1.4 POL PROC – Discharge Policy</w:t>
      </w:r>
    </w:p>
    <w:p w14:paraId="7A1491B8" w14:textId="77777777" w:rsidR="00664B84" w:rsidRPr="00664B84" w:rsidRDefault="00664B84" w:rsidP="00F306E8">
      <w:pPr>
        <w:ind w:right="2160"/>
        <w:outlineLvl w:val="0"/>
        <w:rPr>
          <w:b/>
        </w:rPr>
      </w:pPr>
      <w:r w:rsidRPr="0054129C">
        <w:rPr>
          <w:b/>
        </w:rPr>
        <w:t xml:space="preserve">Definitions pertaining to the policy: </w:t>
      </w:r>
    </w:p>
    <w:p w14:paraId="02272D51" w14:textId="44ED1A9D" w:rsidR="00664B84" w:rsidRDefault="00664B84" w:rsidP="008C77FE">
      <w:pPr>
        <w:spacing w:after="0" w:line="240" w:lineRule="auto"/>
        <w:ind w:left="360" w:right="2160"/>
        <w:jc w:val="both"/>
      </w:pPr>
      <w:r w:rsidRPr="00F306E8">
        <w:rPr>
          <w:b/>
          <w:bCs/>
        </w:rPr>
        <w:t>Informal Compliant:</w:t>
      </w:r>
      <w:r>
        <w:t xml:space="preserve"> </w:t>
      </w:r>
      <w:r w:rsidR="00A736E2">
        <w:t xml:space="preserve">Feedback provided by a resident </w:t>
      </w:r>
      <w:r>
        <w:t>and/or legal representative that can be</w:t>
      </w:r>
      <w:r w:rsidR="008C77FE">
        <w:t>,</w:t>
      </w:r>
      <w:r>
        <w:t xml:space="preserve"> </w:t>
      </w:r>
      <w:r w:rsidR="00A736E2">
        <w:t>and is</w:t>
      </w:r>
      <w:r w:rsidR="008C77FE">
        <w:t>,</w:t>
      </w:r>
      <w:r w:rsidR="00A736E2">
        <w:t xml:space="preserve"> addressed to the resident</w:t>
      </w:r>
      <w:r>
        <w:t>/legal representative’s satisfaction by the person to whom the feedback was given or</w:t>
      </w:r>
      <w:r w:rsidR="0068463B">
        <w:t xml:space="preserve"> by</w:t>
      </w:r>
      <w:r>
        <w:t xml:space="preserve"> the home manager. </w:t>
      </w:r>
    </w:p>
    <w:p w14:paraId="0439A27F" w14:textId="77777777" w:rsidR="00F306E8" w:rsidRDefault="00F306E8" w:rsidP="008C77FE">
      <w:pPr>
        <w:spacing w:after="0" w:line="240" w:lineRule="auto"/>
        <w:ind w:left="360" w:right="2160"/>
        <w:jc w:val="both"/>
      </w:pPr>
    </w:p>
    <w:p w14:paraId="34023E70" w14:textId="321B8611" w:rsidR="00664B84" w:rsidRDefault="00664B84" w:rsidP="008C77FE">
      <w:pPr>
        <w:spacing w:after="0" w:line="240" w:lineRule="auto"/>
        <w:ind w:left="360" w:right="2160"/>
        <w:jc w:val="both"/>
      </w:pPr>
      <w:r w:rsidRPr="00F306E8">
        <w:rPr>
          <w:b/>
          <w:bCs/>
        </w:rPr>
        <w:t>Formal Complaint:</w:t>
      </w:r>
      <w:r>
        <w:t xml:space="preserve"> A formal complaint is</w:t>
      </w:r>
      <w:r w:rsidR="00A736E2">
        <w:t xml:space="preserve"> feedback provided by a resident</w:t>
      </w:r>
      <w:r>
        <w:t xml:space="preserve"> and/or legal representative that requires a policy of formal process change and approval by a member of the adminis</w:t>
      </w:r>
      <w:r w:rsidR="00A736E2">
        <w:t>trative team to address resident</w:t>
      </w:r>
      <w:r>
        <w:t xml:space="preserve"> and/or legal representative satisfaction. </w:t>
      </w:r>
    </w:p>
    <w:p w14:paraId="64F3048A" w14:textId="77777777" w:rsidR="00F306E8" w:rsidRDefault="00F306E8" w:rsidP="008C77FE">
      <w:pPr>
        <w:spacing w:after="0" w:line="240" w:lineRule="auto"/>
        <w:ind w:left="360" w:right="2160"/>
        <w:jc w:val="both"/>
      </w:pPr>
    </w:p>
    <w:p w14:paraId="55222981" w14:textId="77777777" w:rsidR="00664B84" w:rsidRDefault="00664B84" w:rsidP="008C77FE">
      <w:pPr>
        <w:spacing w:after="0" w:line="240" w:lineRule="auto"/>
        <w:ind w:left="360" w:right="2160"/>
        <w:jc w:val="both"/>
      </w:pPr>
      <w:r w:rsidRPr="00F306E8">
        <w:rPr>
          <w:b/>
          <w:bCs/>
        </w:rPr>
        <w:t>Appeal:</w:t>
      </w:r>
      <w:r>
        <w:t xml:space="preserve"> An app</w:t>
      </w:r>
      <w:r w:rsidR="00A736E2">
        <w:t>eal is a request by the resident</w:t>
      </w:r>
      <w:r>
        <w:t xml:space="preserve"> and/or legal representative for reconsideration of a decision that was made in response to a grievance. </w:t>
      </w:r>
    </w:p>
    <w:p w14:paraId="1A9F0A0A" w14:textId="4002BAE3" w:rsidR="00664B84" w:rsidRDefault="00664B84" w:rsidP="00664B84"/>
    <w:p w14:paraId="43C87E17" w14:textId="7D9A1A35" w:rsidR="00601124" w:rsidRDefault="00601124" w:rsidP="00664B84"/>
    <w:p w14:paraId="1BEC6C00" w14:textId="57F80282" w:rsidR="00601124" w:rsidRDefault="00601124" w:rsidP="00664B84"/>
    <w:p w14:paraId="6250E2BE" w14:textId="77777777" w:rsidR="00664B84" w:rsidRPr="00664B84" w:rsidRDefault="00664B84" w:rsidP="00F0430E">
      <w:pPr>
        <w:pStyle w:val="ListParagraph"/>
        <w:numPr>
          <w:ilvl w:val="0"/>
          <w:numId w:val="4"/>
        </w:numPr>
        <w:spacing w:after="0" w:line="240" w:lineRule="auto"/>
        <w:ind w:left="360"/>
        <w:rPr>
          <w:b/>
        </w:rPr>
      </w:pPr>
      <w:r w:rsidRPr="0054129C">
        <w:rPr>
          <w:b/>
        </w:rPr>
        <w:lastRenderedPageBreak/>
        <w:t>Informal Compliant Process</w:t>
      </w:r>
    </w:p>
    <w:p w14:paraId="54178D4E" w14:textId="77777777" w:rsidR="00664B84" w:rsidRDefault="00664B84" w:rsidP="00F0430E">
      <w:pPr>
        <w:ind w:firstLine="360"/>
      </w:pPr>
      <w:r>
        <w:t xml:space="preserve">Individuals who wish to make an informal compliant may propose that complaint through (but is not limited to) the following ways: </w:t>
      </w:r>
    </w:p>
    <w:p w14:paraId="2694D3F6" w14:textId="77777777" w:rsidR="00A736E2" w:rsidRDefault="00664B84" w:rsidP="00664B84">
      <w:pPr>
        <w:pStyle w:val="ListParagraph"/>
        <w:numPr>
          <w:ilvl w:val="0"/>
          <w:numId w:val="9"/>
        </w:numPr>
      </w:pPr>
      <w:r>
        <w:t xml:space="preserve">Completing a Cornerstone/Hernandez Home AFC, Inc. Complaint Form </w:t>
      </w:r>
      <w:r w:rsidR="00A736E2">
        <w:t>which is available in the home.</w:t>
      </w:r>
    </w:p>
    <w:p w14:paraId="36944A0D" w14:textId="77777777" w:rsidR="00A736E2" w:rsidRDefault="00664B84" w:rsidP="00664B84">
      <w:pPr>
        <w:pStyle w:val="ListParagraph"/>
        <w:numPr>
          <w:ilvl w:val="0"/>
          <w:numId w:val="9"/>
        </w:numPr>
      </w:pPr>
      <w:r>
        <w:t xml:space="preserve">Mentioning their grievance to their care coordinator during contacts. </w:t>
      </w:r>
    </w:p>
    <w:p w14:paraId="71E9ABB6" w14:textId="77777777" w:rsidR="00A736E2" w:rsidRDefault="00664B84" w:rsidP="00664B84">
      <w:pPr>
        <w:pStyle w:val="ListParagraph"/>
        <w:numPr>
          <w:ilvl w:val="0"/>
          <w:numId w:val="9"/>
        </w:numPr>
      </w:pPr>
      <w:r>
        <w:t xml:space="preserve">Through bi-weekly </w:t>
      </w:r>
      <w:r w:rsidR="00A736E2">
        <w:t>resident</w:t>
      </w:r>
      <w:r>
        <w:t xml:space="preserve"> meetings. </w:t>
      </w:r>
    </w:p>
    <w:p w14:paraId="2C6D60E6" w14:textId="77777777" w:rsidR="00A736E2" w:rsidRDefault="00664B84" w:rsidP="00664B84">
      <w:pPr>
        <w:pStyle w:val="ListParagraph"/>
        <w:numPr>
          <w:ilvl w:val="0"/>
          <w:numId w:val="9"/>
        </w:numPr>
      </w:pPr>
      <w:r>
        <w:t xml:space="preserve">Through stakeholder surveys. </w:t>
      </w:r>
    </w:p>
    <w:p w14:paraId="7B2B3416" w14:textId="77777777" w:rsidR="00664B84" w:rsidRDefault="00A736E2" w:rsidP="00664B84">
      <w:pPr>
        <w:pStyle w:val="ListParagraph"/>
        <w:numPr>
          <w:ilvl w:val="0"/>
          <w:numId w:val="9"/>
        </w:numPr>
      </w:pPr>
      <w:r>
        <w:t>T</w:t>
      </w:r>
      <w:r w:rsidR="00664B84">
        <w:t xml:space="preserve">hrough talking with the home manager regarding the issue. </w:t>
      </w:r>
    </w:p>
    <w:p w14:paraId="437A3CB5" w14:textId="77777777" w:rsidR="00664B84" w:rsidRDefault="00664B84" w:rsidP="00F306E8">
      <w:pPr>
        <w:ind w:firstLine="720"/>
      </w:pPr>
      <w:r>
        <w:t xml:space="preserve">The home manager can attempt to resolve the compliant, grievance or appeal before a formal complaint is made. The matter should be handled by the home manager in the following ways: </w:t>
      </w:r>
    </w:p>
    <w:p w14:paraId="4377CA63" w14:textId="77777777" w:rsidR="00664B84" w:rsidRDefault="00664B84" w:rsidP="00664B84">
      <w:pPr>
        <w:pStyle w:val="ListParagraph"/>
        <w:numPr>
          <w:ilvl w:val="0"/>
          <w:numId w:val="5"/>
        </w:numPr>
        <w:spacing w:after="0" w:line="240" w:lineRule="auto"/>
      </w:pPr>
      <w:r>
        <w:t xml:space="preserve">Asking the </w:t>
      </w:r>
      <w:r w:rsidR="00A736E2">
        <w:t>resident</w:t>
      </w:r>
      <w:r>
        <w:t xml:space="preserve"> to explain his or her concerns and identify the desired outcome. </w:t>
      </w:r>
    </w:p>
    <w:p w14:paraId="659C219D" w14:textId="77777777" w:rsidR="00664B84" w:rsidRDefault="00664B84" w:rsidP="00664B84">
      <w:pPr>
        <w:pStyle w:val="ListParagraph"/>
        <w:numPr>
          <w:ilvl w:val="0"/>
          <w:numId w:val="5"/>
        </w:numPr>
        <w:spacing w:after="0" w:line="240" w:lineRule="auto"/>
      </w:pPr>
      <w:r>
        <w:t xml:space="preserve">Supplying the </w:t>
      </w:r>
      <w:r w:rsidR="00A736E2">
        <w:t>resident</w:t>
      </w:r>
      <w:r>
        <w:t xml:space="preserve">s’ desired outcome if it is within the organizations ability or authority to do so. </w:t>
      </w:r>
    </w:p>
    <w:p w14:paraId="31C26239" w14:textId="77777777" w:rsidR="00664B84" w:rsidRDefault="00664B84" w:rsidP="00664B84">
      <w:pPr>
        <w:pStyle w:val="ListParagraph"/>
        <w:numPr>
          <w:ilvl w:val="0"/>
          <w:numId w:val="5"/>
        </w:numPr>
        <w:spacing w:after="0" w:line="240" w:lineRule="auto"/>
      </w:pPr>
      <w:r>
        <w:t xml:space="preserve">If the organization cannot immediately supply the </w:t>
      </w:r>
      <w:r w:rsidR="00A736E2">
        <w:t>resident</w:t>
      </w:r>
      <w:r>
        <w:t xml:space="preserve">’s desired outcome, the person in charge of the compliant must explain the rights and responsibilities of each party and share with the person making the compliant what efforts need to be made to resolve the compliant.  Furthermore, the individual making the compliant should be given a time frame for consideration to ensure timely decisions. </w:t>
      </w:r>
    </w:p>
    <w:p w14:paraId="093EE48D" w14:textId="77777777" w:rsidR="00664B84" w:rsidRDefault="00664B84" w:rsidP="00664B84">
      <w:pPr>
        <w:pStyle w:val="ListParagraph"/>
        <w:numPr>
          <w:ilvl w:val="0"/>
          <w:numId w:val="5"/>
        </w:numPr>
        <w:spacing w:after="0" w:line="240" w:lineRule="auto"/>
      </w:pPr>
      <w:r>
        <w:t xml:space="preserve">Informal complaints must have feedback or resolution within one week of the informal compliant unless it is mutually agreed upon by </w:t>
      </w:r>
      <w:r w:rsidR="00A736E2">
        <w:t>resident</w:t>
      </w:r>
      <w:r>
        <w:t xml:space="preserve"> and/or guardian and Cornerstone staff member. </w:t>
      </w:r>
    </w:p>
    <w:p w14:paraId="4CD29F68" w14:textId="77777777" w:rsidR="00A736E2" w:rsidRDefault="00A736E2" w:rsidP="00664B84">
      <w:pPr>
        <w:pStyle w:val="ListParagraph"/>
        <w:numPr>
          <w:ilvl w:val="0"/>
          <w:numId w:val="5"/>
        </w:numPr>
        <w:spacing w:after="0" w:line="240" w:lineRule="auto"/>
      </w:pPr>
      <w:r>
        <w:t>Staff can document resolution through progress notes, observation logs, contact logs or root-cause analysis.</w:t>
      </w:r>
    </w:p>
    <w:p w14:paraId="473A3CBC" w14:textId="33E1DF69" w:rsidR="00664B84" w:rsidRDefault="00664B84" w:rsidP="00664B84">
      <w:pPr>
        <w:pStyle w:val="ListParagraph"/>
      </w:pPr>
    </w:p>
    <w:p w14:paraId="7B4483B3" w14:textId="0E7D71F3" w:rsidR="00601124" w:rsidRDefault="00601124" w:rsidP="00664B84">
      <w:pPr>
        <w:pStyle w:val="ListParagraph"/>
      </w:pPr>
    </w:p>
    <w:p w14:paraId="7D893DEE" w14:textId="1519DEAE" w:rsidR="00601124" w:rsidRDefault="00601124" w:rsidP="00664B84">
      <w:pPr>
        <w:pStyle w:val="ListParagraph"/>
      </w:pPr>
    </w:p>
    <w:p w14:paraId="1C807F92" w14:textId="08AACD06" w:rsidR="00601124" w:rsidRDefault="00601124" w:rsidP="00664B84">
      <w:pPr>
        <w:pStyle w:val="ListParagraph"/>
      </w:pPr>
    </w:p>
    <w:p w14:paraId="1B880F83" w14:textId="77777777" w:rsidR="00601124" w:rsidRDefault="00601124" w:rsidP="00664B84">
      <w:pPr>
        <w:pStyle w:val="ListParagraph"/>
      </w:pPr>
    </w:p>
    <w:p w14:paraId="2038DDFA" w14:textId="77777777" w:rsidR="00664B84" w:rsidRDefault="00664B84" w:rsidP="00F0430E">
      <w:pPr>
        <w:pStyle w:val="ListParagraph"/>
        <w:numPr>
          <w:ilvl w:val="0"/>
          <w:numId w:val="4"/>
        </w:numPr>
        <w:spacing w:after="0" w:line="240" w:lineRule="auto"/>
        <w:ind w:left="360"/>
        <w:rPr>
          <w:b/>
        </w:rPr>
      </w:pPr>
      <w:r w:rsidRPr="00416D31">
        <w:rPr>
          <w:b/>
        </w:rPr>
        <w:lastRenderedPageBreak/>
        <w:t>Formal Complaint Process</w:t>
      </w:r>
    </w:p>
    <w:p w14:paraId="40A885F4" w14:textId="77777777" w:rsidR="00664B84" w:rsidRPr="00664B84" w:rsidRDefault="00664B84" w:rsidP="00664B84">
      <w:pPr>
        <w:pStyle w:val="ListParagraph"/>
        <w:spacing w:after="0" w:line="240" w:lineRule="auto"/>
        <w:rPr>
          <w:b/>
        </w:rPr>
      </w:pPr>
    </w:p>
    <w:p w14:paraId="1C27BC15" w14:textId="77777777" w:rsidR="00664B84" w:rsidRDefault="00664B84" w:rsidP="00F0430E">
      <w:pPr>
        <w:ind w:firstLine="360"/>
      </w:pPr>
      <w:r>
        <w:t xml:space="preserve">A formal complaint happens when a home manager or Cornerstone/Hernandez Home AFC, Inc staff member cannot resolve the compliant within a specified time frame or when the staff member and/or home manager do not have the authority or scope of practice to resolve the compliant without the approval of a member of the administration. A formal compliant may happen when the </w:t>
      </w:r>
      <w:r w:rsidR="00A736E2">
        <w:t>resident</w:t>
      </w:r>
      <w:r>
        <w:t xml:space="preserve"> and/or guardian are not happy with the resolution of the compliant. A formal compliant can happen in the following ways:</w:t>
      </w:r>
    </w:p>
    <w:p w14:paraId="3B672E52" w14:textId="77777777" w:rsidR="00664B84" w:rsidRDefault="00664B84" w:rsidP="00664B84">
      <w:pPr>
        <w:pStyle w:val="ListParagraph"/>
        <w:numPr>
          <w:ilvl w:val="0"/>
          <w:numId w:val="6"/>
        </w:numPr>
        <w:spacing w:after="0" w:line="240" w:lineRule="auto"/>
      </w:pPr>
      <w:r>
        <w:t xml:space="preserve">A formal compliant process can happen through filling out a Cornerstone/Hernandez Home AFC, Inc. compliant form available in the home. </w:t>
      </w:r>
    </w:p>
    <w:p w14:paraId="0068DE94" w14:textId="77777777" w:rsidR="00664B84" w:rsidRDefault="00664B84" w:rsidP="00664B84">
      <w:pPr>
        <w:pStyle w:val="ListParagraph"/>
        <w:numPr>
          <w:ilvl w:val="0"/>
          <w:numId w:val="6"/>
        </w:numPr>
        <w:spacing w:after="0" w:line="240" w:lineRule="auto"/>
      </w:pPr>
      <w:r>
        <w:t xml:space="preserve">Staff members can assist a </w:t>
      </w:r>
      <w:r w:rsidR="00A736E2">
        <w:t>resident</w:t>
      </w:r>
      <w:r>
        <w:t xml:space="preserve"> and/or legal representative with appropriately filling out the compliant form if needed. </w:t>
      </w:r>
    </w:p>
    <w:p w14:paraId="522F7EA0" w14:textId="03FB1BBA" w:rsidR="00664B84" w:rsidRDefault="00664B84" w:rsidP="00664B84">
      <w:pPr>
        <w:pStyle w:val="ListParagraph"/>
        <w:numPr>
          <w:ilvl w:val="0"/>
          <w:numId w:val="6"/>
        </w:numPr>
        <w:spacing w:after="0" w:line="240" w:lineRule="auto"/>
      </w:pPr>
      <w:r>
        <w:t>The compliant form will then be given directly to the Corporate Compliance Officer</w:t>
      </w:r>
      <w:r w:rsidR="00A736E2">
        <w:t xml:space="preserve"> (</w:t>
      </w:r>
      <w:r w:rsidR="00F0430E">
        <w:t>“</w:t>
      </w:r>
      <w:r w:rsidR="00A736E2">
        <w:t>CCO</w:t>
      </w:r>
      <w:r w:rsidR="00F0430E">
        <w:t>”</w:t>
      </w:r>
      <w:r w:rsidR="00A736E2">
        <w:t xml:space="preserve">) </w:t>
      </w:r>
      <w:r>
        <w:t xml:space="preserve">for review. </w:t>
      </w:r>
    </w:p>
    <w:p w14:paraId="03199613" w14:textId="77777777" w:rsidR="00664B84" w:rsidRDefault="00664B84" w:rsidP="00664B84">
      <w:pPr>
        <w:pStyle w:val="ListParagraph"/>
        <w:numPr>
          <w:ilvl w:val="0"/>
          <w:numId w:val="6"/>
        </w:numPr>
        <w:spacing w:after="0" w:line="240" w:lineRule="auto"/>
      </w:pPr>
      <w:r>
        <w:t xml:space="preserve">The CCO will advise the </w:t>
      </w:r>
      <w:r w:rsidR="00A736E2">
        <w:t>resident</w:t>
      </w:r>
      <w:r>
        <w:t xml:space="preserve"> of advocates that could help them with their compliant</w:t>
      </w:r>
      <w:r w:rsidR="00A736E2">
        <w:t xml:space="preserve"> both internally and/or externally</w:t>
      </w:r>
      <w:r>
        <w:t>. Advocates might include the organizations rights advisors, their recipient rights officer, case worker, guardian</w:t>
      </w:r>
      <w:r w:rsidR="00A736E2">
        <w:t>, contracting agency</w:t>
      </w:r>
      <w:r>
        <w:t xml:space="preserve"> and/or family member. </w:t>
      </w:r>
    </w:p>
    <w:p w14:paraId="079EFF84" w14:textId="77777777" w:rsidR="00664B84" w:rsidRDefault="00664B84" w:rsidP="00664B84">
      <w:pPr>
        <w:pStyle w:val="ListParagraph"/>
        <w:numPr>
          <w:ilvl w:val="0"/>
          <w:numId w:val="6"/>
        </w:numPr>
        <w:spacing w:after="0" w:line="240" w:lineRule="auto"/>
      </w:pPr>
      <w:r>
        <w:t xml:space="preserve">The CCO will work with the </w:t>
      </w:r>
      <w:r w:rsidR="00A736E2">
        <w:t>resident</w:t>
      </w:r>
      <w:r>
        <w:t xml:space="preserve"> advocate/s to resolve the issue with a mutually agreeable resolution. </w:t>
      </w:r>
    </w:p>
    <w:p w14:paraId="79BD2FA9" w14:textId="77777777" w:rsidR="00664B84" w:rsidRDefault="00664B84" w:rsidP="00664B84">
      <w:pPr>
        <w:pStyle w:val="ListParagraph"/>
        <w:numPr>
          <w:ilvl w:val="0"/>
          <w:numId w:val="6"/>
        </w:numPr>
        <w:spacing w:after="0" w:line="240" w:lineRule="auto"/>
      </w:pPr>
      <w:r>
        <w:t xml:space="preserve">If needed, a resolution meeting can be scheduled with the CEO. </w:t>
      </w:r>
    </w:p>
    <w:p w14:paraId="69DA6CE1" w14:textId="77777777" w:rsidR="00664B84" w:rsidRDefault="00664B84" w:rsidP="00664B84">
      <w:pPr>
        <w:pStyle w:val="ListParagraph"/>
        <w:numPr>
          <w:ilvl w:val="0"/>
          <w:numId w:val="6"/>
        </w:numPr>
        <w:spacing w:after="0" w:line="240" w:lineRule="auto"/>
      </w:pPr>
      <w:r>
        <w:t xml:space="preserve">Together, the CEO, CCO, </w:t>
      </w:r>
      <w:r w:rsidR="00A736E2">
        <w:t>resident</w:t>
      </w:r>
      <w:r>
        <w:t xml:space="preserve"> and/or advocates can come up with a resolution to the compliant. </w:t>
      </w:r>
    </w:p>
    <w:p w14:paraId="7B8FE673" w14:textId="77777777" w:rsidR="00664B84" w:rsidRDefault="00664B84" w:rsidP="00664B84">
      <w:pPr>
        <w:pStyle w:val="ListParagraph"/>
        <w:numPr>
          <w:ilvl w:val="0"/>
          <w:numId w:val="6"/>
        </w:numPr>
        <w:spacing w:after="0" w:line="240" w:lineRule="auto"/>
      </w:pPr>
      <w:r>
        <w:t>If necessary, or in accordance with contract, the organization may utili</w:t>
      </w:r>
      <w:r w:rsidR="00A736E2">
        <w:t>ze the Community Mental Health Agency to assist in the process or follow the grievance policy associated with the Agency.</w:t>
      </w:r>
    </w:p>
    <w:p w14:paraId="5A88CD80" w14:textId="77777777" w:rsidR="00664B84" w:rsidRDefault="00664B84" w:rsidP="00664B84">
      <w:pPr>
        <w:pStyle w:val="ListParagraph"/>
        <w:numPr>
          <w:ilvl w:val="0"/>
          <w:numId w:val="6"/>
        </w:numPr>
        <w:spacing w:after="0" w:line="240" w:lineRule="auto"/>
      </w:pPr>
      <w:r>
        <w:t xml:space="preserve">A resolution of the grievance will be communicated to the </w:t>
      </w:r>
      <w:r w:rsidR="00A736E2">
        <w:t>resident</w:t>
      </w:r>
      <w:r>
        <w:t xml:space="preserve"> and/or guardian within 14 business days of the receipt of the compliant. </w:t>
      </w:r>
    </w:p>
    <w:p w14:paraId="4D408DED" w14:textId="77777777" w:rsidR="00664B84" w:rsidRDefault="00664B84" w:rsidP="00664B84">
      <w:pPr>
        <w:pStyle w:val="ListParagraph"/>
        <w:numPr>
          <w:ilvl w:val="0"/>
          <w:numId w:val="6"/>
        </w:numPr>
        <w:spacing w:after="0" w:line="240" w:lineRule="auto"/>
      </w:pPr>
      <w:r>
        <w:t xml:space="preserve">If a resolution cannot be made within 14 business days, the CCO will issue a formal timeline and update the </w:t>
      </w:r>
      <w:r w:rsidR="00A736E2">
        <w:t>resident</w:t>
      </w:r>
      <w:r>
        <w:t xml:space="preserve"> every 14 business days thereafter. </w:t>
      </w:r>
    </w:p>
    <w:p w14:paraId="4091A28D" w14:textId="77777777" w:rsidR="00664B84" w:rsidRDefault="00664B84" w:rsidP="00664B84">
      <w:pPr>
        <w:pStyle w:val="ListParagraph"/>
        <w:numPr>
          <w:ilvl w:val="0"/>
          <w:numId w:val="6"/>
        </w:numPr>
        <w:spacing w:after="0" w:line="240" w:lineRule="auto"/>
      </w:pPr>
      <w:r>
        <w:t>In a formal c</w:t>
      </w:r>
      <w:r w:rsidR="00A736E2">
        <w:t>ompliant process, residents</w:t>
      </w:r>
      <w:r>
        <w:t xml:space="preserve"> m</w:t>
      </w:r>
      <w:r w:rsidR="002234E6">
        <w:t>a</w:t>
      </w:r>
      <w:r>
        <w:t xml:space="preserve">y choose to include their contracting agency, case management service, legal representative or family members. </w:t>
      </w:r>
    </w:p>
    <w:p w14:paraId="2E15D2D1" w14:textId="4B25D42A" w:rsidR="00664B84" w:rsidRDefault="00664B84" w:rsidP="00664B84">
      <w:pPr>
        <w:spacing w:after="0" w:line="240" w:lineRule="auto"/>
      </w:pPr>
    </w:p>
    <w:p w14:paraId="05492E6C" w14:textId="63868C92" w:rsidR="00601124" w:rsidRDefault="00601124" w:rsidP="00664B84">
      <w:pPr>
        <w:spacing w:after="0" w:line="240" w:lineRule="auto"/>
      </w:pPr>
    </w:p>
    <w:p w14:paraId="3BCBA4BE" w14:textId="77777777" w:rsidR="00601124" w:rsidRDefault="00601124" w:rsidP="00664B84">
      <w:pPr>
        <w:spacing w:after="0" w:line="240" w:lineRule="auto"/>
      </w:pPr>
    </w:p>
    <w:p w14:paraId="16455C5E" w14:textId="77777777" w:rsidR="00664B84" w:rsidRDefault="00664B84" w:rsidP="00601124">
      <w:pPr>
        <w:pStyle w:val="ListParagraph"/>
        <w:numPr>
          <w:ilvl w:val="0"/>
          <w:numId w:val="4"/>
        </w:numPr>
        <w:spacing w:after="0" w:line="240" w:lineRule="auto"/>
        <w:ind w:left="360"/>
        <w:rPr>
          <w:b/>
        </w:rPr>
      </w:pPr>
      <w:r w:rsidRPr="00416D31">
        <w:rPr>
          <w:b/>
        </w:rPr>
        <w:lastRenderedPageBreak/>
        <w:t>Appeal Process</w:t>
      </w:r>
    </w:p>
    <w:p w14:paraId="7DF53DB7" w14:textId="77777777" w:rsidR="00664B84" w:rsidRPr="00664B84" w:rsidRDefault="00664B84" w:rsidP="00664B84">
      <w:pPr>
        <w:pStyle w:val="ListParagraph"/>
        <w:spacing w:after="0" w:line="240" w:lineRule="auto"/>
        <w:rPr>
          <w:b/>
        </w:rPr>
      </w:pPr>
    </w:p>
    <w:p w14:paraId="444D7ED4" w14:textId="77777777" w:rsidR="00664B84" w:rsidRDefault="00664B84" w:rsidP="00F306E8">
      <w:pPr>
        <w:ind w:firstLine="360"/>
      </w:pPr>
      <w:r>
        <w:t xml:space="preserve">In the event that the </w:t>
      </w:r>
      <w:r w:rsidR="00A736E2">
        <w:t>resident</w:t>
      </w:r>
      <w:r>
        <w:t xml:space="preserve"> and/or guardian is dissatisfied with the grievance decision, the following will apply: </w:t>
      </w:r>
    </w:p>
    <w:p w14:paraId="6C0773D7" w14:textId="77777777" w:rsidR="00664B84" w:rsidRDefault="00664B84" w:rsidP="00664B84">
      <w:pPr>
        <w:pStyle w:val="ListParagraph"/>
        <w:numPr>
          <w:ilvl w:val="0"/>
          <w:numId w:val="7"/>
        </w:numPr>
        <w:spacing w:after="0" w:line="240" w:lineRule="auto"/>
      </w:pPr>
      <w:r>
        <w:t xml:space="preserve">Advice </w:t>
      </w:r>
      <w:r w:rsidR="00A736E2">
        <w:t>resident</w:t>
      </w:r>
      <w:r>
        <w:t xml:space="preserve"> and/or guardian of the appeals process, including appeal to Michigan Department of Health and Human Services tribunal, if appropriate. </w:t>
      </w:r>
    </w:p>
    <w:p w14:paraId="74F3DD5D" w14:textId="77777777" w:rsidR="00664B84" w:rsidRDefault="00664B84" w:rsidP="00664B84">
      <w:pPr>
        <w:pStyle w:val="ListParagraph"/>
        <w:numPr>
          <w:ilvl w:val="0"/>
          <w:numId w:val="7"/>
        </w:numPr>
        <w:spacing w:after="0" w:line="240" w:lineRule="auto"/>
      </w:pPr>
      <w:r>
        <w:t>Notify the Community Mental Health agency of the dissatisfaction using the pr</w:t>
      </w:r>
      <w:r w:rsidR="00DC6553">
        <w:t>ocedures developed by the agency</w:t>
      </w:r>
      <w:r>
        <w:t xml:space="preserve">. </w:t>
      </w:r>
    </w:p>
    <w:p w14:paraId="4A80261B" w14:textId="77777777" w:rsidR="00664B84" w:rsidRDefault="00664B84" w:rsidP="00664B84">
      <w:pPr>
        <w:pStyle w:val="ListParagraph"/>
        <w:numPr>
          <w:ilvl w:val="0"/>
          <w:numId w:val="7"/>
        </w:numPr>
        <w:spacing w:after="0" w:line="240" w:lineRule="auto"/>
      </w:pPr>
      <w:r>
        <w:t xml:space="preserve">The CEO will reach a decision of the appeal within 14 business days. </w:t>
      </w:r>
    </w:p>
    <w:p w14:paraId="3142B440" w14:textId="77777777" w:rsidR="00664B84" w:rsidRDefault="00664B84" w:rsidP="00664B84">
      <w:pPr>
        <w:pStyle w:val="ListParagraph"/>
        <w:numPr>
          <w:ilvl w:val="0"/>
          <w:numId w:val="7"/>
        </w:numPr>
        <w:spacing w:after="0" w:line="240" w:lineRule="auto"/>
      </w:pPr>
      <w:r>
        <w:t xml:space="preserve">If a decision cannot be reached within the 14 business days, the CEO will provide an update of where the appeal request is in the review process, an expected completion date and update every 14 business days thereafter until a resolution is found. </w:t>
      </w:r>
    </w:p>
    <w:p w14:paraId="6709B7F1" w14:textId="77777777" w:rsidR="00664B84" w:rsidRDefault="00664B84" w:rsidP="00664B84"/>
    <w:p w14:paraId="7AE27755" w14:textId="77777777" w:rsidR="00664B84" w:rsidRDefault="00664B84" w:rsidP="00601124">
      <w:pPr>
        <w:pStyle w:val="ListParagraph"/>
        <w:numPr>
          <w:ilvl w:val="0"/>
          <w:numId w:val="4"/>
        </w:numPr>
        <w:spacing w:after="0" w:line="240" w:lineRule="auto"/>
        <w:ind w:left="360"/>
        <w:rPr>
          <w:b/>
        </w:rPr>
      </w:pPr>
      <w:r w:rsidRPr="00C54744">
        <w:rPr>
          <w:b/>
        </w:rPr>
        <w:t>Process Evaluation</w:t>
      </w:r>
    </w:p>
    <w:p w14:paraId="5D08EF77" w14:textId="77777777" w:rsidR="00DD1B77" w:rsidRPr="00DD1B77" w:rsidRDefault="00DD1B77" w:rsidP="00DD1B77">
      <w:pPr>
        <w:pStyle w:val="ListParagraph"/>
        <w:spacing w:after="0" w:line="240" w:lineRule="auto"/>
        <w:rPr>
          <w:b/>
        </w:rPr>
      </w:pPr>
    </w:p>
    <w:p w14:paraId="3AD77E2D" w14:textId="77777777" w:rsidR="00664B84" w:rsidRDefault="00664B84" w:rsidP="00F306E8">
      <w:pPr>
        <w:ind w:firstLine="360"/>
      </w:pPr>
      <w:r>
        <w:t xml:space="preserve">Annually, the CCO and Rights Advocate for the organization will conduct a process evaluation to identify the nature and count of formal complaints, grievances and appeals by each location. They will identify potential trends and analyze the rates of formal and informal complaints to previous years. They will also make recommendations for process improvements and identify any actions necessary for change. </w:t>
      </w:r>
    </w:p>
    <w:p w14:paraId="781044EF" w14:textId="77777777" w:rsidR="00664B84" w:rsidRDefault="00664B84" w:rsidP="00A736E2">
      <w:pPr>
        <w:pStyle w:val="ListParagraph"/>
        <w:numPr>
          <w:ilvl w:val="0"/>
          <w:numId w:val="10"/>
        </w:numPr>
        <w:spacing w:after="0" w:line="240" w:lineRule="auto"/>
      </w:pPr>
      <w:r>
        <w:t xml:space="preserve">All Cornerstone/Hernandez Home AFC, Inc. </w:t>
      </w:r>
      <w:r w:rsidR="00A736E2">
        <w:t>resident</w:t>
      </w:r>
      <w:r>
        <w:t xml:space="preserve">s and/or guardians have the right to be free from retaliation, intimidation or barriers to service due to the filing of a compliant, grievance or appeal. </w:t>
      </w:r>
    </w:p>
    <w:p w14:paraId="233174B2" w14:textId="77777777" w:rsidR="00AB3C74" w:rsidRPr="00156411" w:rsidRDefault="00AB3C74" w:rsidP="00156411"/>
    <w:sectPr w:rsidR="00AB3C74" w:rsidRPr="00156411" w:rsidSect="005232F2">
      <w:headerReference w:type="default" r:id="rId8"/>
      <w:footerReference w:type="default" r:id="rId9"/>
      <w:pgSz w:w="12240" w:h="15840" w:code="1"/>
      <w:pgMar w:top="720" w:right="720" w:bottom="720" w:left="720"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D2D62" w14:textId="77777777" w:rsidR="00097070" w:rsidRDefault="00097070" w:rsidP="00AB3C74">
      <w:pPr>
        <w:spacing w:line="240" w:lineRule="auto"/>
      </w:pPr>
      <w:r>
        <w:separator/>
      </w:r>
    </w:p>
  </w:endnote>
  <w:endnote w:type="continuationSeparator" w:id="0">
    <w:p w14:paraId="09FA1C07" w14:textId="77777777" w:rsidR="00097070" w:rsidRDefault="00097070" w:rsidP="00AB3C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718"/>
      <w:gridCol w:w="1713"/>
      <w:gridCol w:w="1725"/>
      <w:gridCol w:w="1705"/>
      <w:gridCol w:w="1705"/>
    </w:tblGrid>
    <w:tr w:rsidR="00F0430E" w14:paraId="01C06D55" w14:textId="77777777" w:rsidTr="005B7E44">
      <w:trPr>
        <w:trHeight w:val="321"/>
      </w:trPr>
      <w:tc>
        <w:tcPr>
          <w:tcW w:w="1702" w:type="dxa"/>
          <w:shd w:val="clear" w:color="auto" w:fill="auto"/>
        </w:tcPr>
        <w:p w14:paraId="74FEAF1D" w14:textId="77777777" w:rsidR="00F0430E" w:rsidRPr="00156242" w:rsidRDefault="00F0430E" w:rsidP="00F0430E">
          <w:pPr>
            <w:pStyle w:val="Footer"/>
            <w:jc w:val="center"/>
            <w:rPr>
              <w:sz w:val="16"/>
              <w:szCs w:val="16"/>
            </w:rPr>
          </w:pPr>
          <w:r w:rsidRPr="00156242">
            <w:rPr>
              <w:sz w:val="16"/>
              <w:szCs w:val="16"/>
            </w:rPr>
            <w:t>Doc. Ref. No.</w:t>
          </w:r>
        </w:p>
      </w:tc>
      <w:tc>
        <w:tcPr>
          <w:tcW w:w="1718" w:type="dxa"/>
          <w:shd w:val="clear" w:color="auto" w:fill="auto"/>
        </w:tcPr>
        <w:p w14:paraId="6990E644" w14:textId="77777777" w:rsidR="00F0430E" w:rsidRPr="00156242" w:rsidRDefault="00F0430E" w:rsidP="00F0430E">
          <w:pPr>
            <w:pStyle w:val="Footer"/>
            <w:jc w:val="center"/>
            <w:rPr>
              <w:sz w:val="16"/>
              <w:szCs w:val="16"/>
            </w:rPr>
          </w:pPr>
          <w:r w:rsidRPr="00156242">
            <w:rPr>
              <w:sz w:val="16"/>
              <w:szCs w:val="16"/>
            </w:rPr>
            <w:t>Prepared by</w:t>
          </w:r>
        </w:p>
      </w:tc>
      <w:tc>
        <w:tcPr>
          <w:tcW w:w="1711" w:type="dxa"/>
          <w:shd w:val="clear" w:color="auto" w:fill="auto"/>
        </w:tcPr>
        <w:p w14:paraId="76DEACEB" w14:textId="77777777" w:rsidR="00F0430E" w:rsidRPr="00156242" w:rsidRDefault="00F0430E" w:rsidP="00F0430E">
          <w:pPr>
            <w:pStyle w:val="Footer"/>
            <w:jc w:val="center"/>
            <w:rPr>
              <w:sz w:val="16"/>
              <w:szCs w:val="16"/>
            </w:rPr>
          </w:pPr>
          <w:r w:rsidRPr="00156242">
            <w:rPr>
              <w:sz w:val="16"/>
              <w:szCs w:val="16"/>
            </w:rPr>
            <w:t>Authori</w:t>
          </w:r>
          <w:r>
            <w:rPr>
              <w:sz w:val="16"/>
              <w:szCs w:val="16"/>
            </w:rPr>
            <w:t>z</w:t>
          </w:r>
          <w:r w:rsidRPr="00156242">
            <w:rPr>
              <w:sz w:val="16"/>
              <w:szCs w:val="16"/>
            </w:rPr>
            <w:t>ed by</w:t>
          </w:r>
        </w:p>
      </w:tc>
      <w:tc>
        <w:tcPr>
          <w:tcW w:w="1725" w:type="dxa"/>
          <w:shd w:val="clear" w:color="auto" w:fill="auto"/>
        </w:tcPr>
        <w:p w14:paraId="579CBAFD" w14:textId="77777777" w:rsidR="00F0430E" w:rsidRPr="00156242" w:rsidRDefault="00F0430E" w:rsidP="00F0430E">
          <w:pPr>
            <w:pStyle w:val="Footer"/>
            <w:jc w:val="center"/>
            <w:rPr>
              <w:sz w:val="16"/>
              <w:szCs w:val="16"/>
            </w:rPr>
          </w:pPr>
          <w:r w:rsidRPr="00156242">
            <w:rPr>
              <w:sz w:val="16"/>
              <w:szCs w:val="16"/>
            </w:rPr>
            <w:t>Issue Date</w:t>
          </w:r>
        </w:p>
      </w:tc>
      <w:tc>
        <w:tcPr>
          <w:tcW w:w="1705" w:type="dxa"/>
          <w:shd w:val="clear" w:color="auto" w:fill="auto"/>
        </w:tcPr>
        <w:p w14:paraId="32BE736C" w14:textId="77777777" w:rsidR="00F0430E" w:rsidRPr="00156242" w:rsidRDefault="00F0430E" w:rsidP="00F0430E">
          <w:pPr>
            <w:pStyle w:val="Footer"/>
            <w:jc w:val="center"/>
            <w:rPr>
              <w:sz w:val="16"/>
              <w:szCs w:val="16"/>
            </w:rPr>
          </w:pPr>
          <w:r w:rsidRPr="00156242">
            <w:rPr>
              <w:sz w:val="16"/>
              <w:szCs w:val="16"/>
            </w:rPr>
            <w:t>Issue No.</w:t>
          </w:r>
        </w:p>
      </w:tc>
      <w:tc>
        <w:tcPr>
          <w:tcW w:w="1705" w:type="dxa"/>
          <w:shd w:val="clear" w:color="auto" w:fill="auto"/>
        </w:tcPr>
        <w:p w14:paraId="4F5EC535" w14:textId="77777777" w:rsidR="00F0430E" w:rsidRPr="00156242" w:rsidRDefault="00F0430E" w:rsidP="00F0430E">
          <w:pPr>
            <w:pStyle w:val="Footer"/>
            <w:jc w:val="center"/>
            <w:rPr>
              <w:sz w:val="16"/>
              <w:szCs w:val="16"/>
            </w:rPr>
          </w:pPr>
          <w:r w:rsidRPr="00156242">
            <w:rPr>
              <w:sz w:val="16"/>
              <w:szCs w:val="16"/>
            </w:rPr>
            <w:t>Page</w:t>
          </w:r>
        </w:p>
      </w:tc>
    </w:tr>
    <w:tr w:rsidR="00F0430E" w14:paraId="2567162D" w14:textId="77777777" w:rsidTr="005B7E44">
      <w:trPr>
        <w:trHeight w:val="321"/>
      </w:trPr>
      <w:tc>
        <w:tcPr>
          <w:tcW w:w="1702" w:type="dxa"/>
          <w:shd w:val="clear" w:color="auto" w:fill="auto"/>
        </w:tcPr>
        <w:p w14:paraId="4E2EF8A5" w14:textId="6B12D7B7" w:rsidR="00F0430E" w:rsidRPr="00156242" w:rsidRDefault="00F0430E" w:rsidP="00F0430E">
          <w:pPr>
            <w:pStyle w:val="Footer"/>
            <w:ind w:left="-15"/>
            <w:jc w:val="center"/>
            <w:rPr>
              <w:sz w:val="16"/>
              <w:szCs w:val="16"/>
            </w:rPr>
          </w:pPr>
          <w:bookmarkStart w:id="0" w:name="_Hlk70972033"/>
          <w:r>
            <w:rPr>
              <w:sz w:val="16"/>
              <w:szCs w:val="16"/>
            </w:rPr>
            <w:t xml:space="preserve">CMS </w:t>
          </w:r>
          <w:bookmarkEnd w:id="0"/>
          <w:r>
            <w:rPr>
              <w:sz w:val="16"/>
              <w:szCs w:val="16"/>
            </w:rPr>
            <w:t>2.2.</w:t>
          </w:r>
          <w:r w:rsidR="0057450F">
            <w:rPr>
              <w:sz w:val="16"/>
              <w:szCs w:val="16"/>
            </w:rPr>
            <w:t>6</w:t>
          </w:r>
          <w:r>
            <w:rPr>
              <w:sz w:val="16"/>
              <w:szCs w:val="16"/>
            </w:rPr>
            <w:t xml:space="preserve"> POL</w:t>
          </w:r>
          <w:r w:rsidR="0057450F">
            <w:rPr>
              <w:sz w:val="16"/>
              <w:szCs w:val="16"/>
            </w:rPr>
            <w:t xml:space="preserve"> PROC</w:t>
          </w:r>
        </w:p>
      </w:tc>
      <w:tc>
        <w:tcPr>
          <w:tcW w:w="1718" w:type="dxa"/>
          <w:shd w:val="clear" w:color="auto" w:fill="auto"/>
        </w:tcPr>
        <w:p w14:paraId="7B05B692" w14:textId="77777777" w:rsidR="00F0430E" w:rsidRPr="00156242" w:rsidRDefault="00F0430E" w:rsidP="00F0430E">
          <w:pPr>
            <w:pStyle w:val="Footer"/>
            <w:jc w:val="center"/>
            <w:rPr>
              <w:sz w:val="16"/>
              <w:szCs w:val="16"/>
            </w:rPr>
          </w:pPr>
        </w:p>
      </w:tc>
      <w:tc>
        <w:tcPr>
          <w:tcW w:w="1711" w:type="dxa"/>
          <w:shd w:val="clear" w:color="auto" w:fill="auto"/>
        </w:tcPr>
        <w:p w14:paraId="2539EDB6" w14:textId="77777777" w:rsidR="00F0430E" w:rsidRPr="00156242" w:rsidRDefault="00F0430E" w:rsidP="00F0430E">
          <w:pPr>
            <w:pStyle w:val="Footer"/>
            <w:ind w:left="-104"/>
            <w:jc w:val="center"/>
            <w:rPr>
              <w:sz w:val="16"/>
              <w:szCs w:val="16"/>
            </w:rPr>
          </w:pPr>
          <w:r>
            <w:rPr>
              <w:sz w:val="16"/>
              <w:szCs w:val="16"/>
            </w:rPr>
            <w:t>Ops Manager</w:t>
          </w:r>
        </w:p>
      </w:tc>
      <w:tc>
        <w:tcPr>
          <w:tcW w:w="1725" w:type="dxa"/>
          <w:shd w:val="clear" w:color="auto" w:fill="auto"/>
        </w:tcPr>
        <w:p w14:paraId="3A611D88" w14:textId="77777777" w:rsidR="00F0430E" w:rsidRPr="00156242" w:rsidRDefault="00F0430E" w:rsidP="00F0430E">
          <w:pPr>
            <w:pStyle w:val="Footer"/>
            <w:ind w:left="-104"/>
            <w:jc w:val="center"/>
            <w:rPr>
              <w:sz w:val="16"/>
              <w:szCs w:val="16"/>
            </w:rPr>
          </w:pPr>
          <w:r>
            <w:rPr>
              <w:sz w:val="16"/>
              <w:szCs w:val="16"/>
            </w:rPr>
            <w:t>June 14, 2021</w:t>
          </w:r>
        </w:p>
      </w:tc>
      <w:tc>
        <w:tcPr>
          <w:tcW w:w="1705" w:type="dxa"/>
          <w:shd w:val="clear" w:color="auto" w:fill="auto"/>
        </w:tcPr>
        <w:p w14:paraId="3AB6D002" w14:textId="77777777" w:rsidR="00F0430E" w:rsidRPr="00156242" w:rsidRDefault="00F0430E" w:rsidP="00F0430E">
          <w:pPr>
            <w:pStyle w:val="Footer"/>
            <w:ind w:left="-119"/>
            <w:jc w:val="center"/>
            <w:rPr>
              <w:sz w:val="16"/>
              <w:szCs w:val="16"/>
            </w:rPr>
          </w:pPr>
          <w:r>
            <w:rPr>
              <w:sz w:val="16"/>
              <w:szCs w:val="16"/>
            </w:rPr>
            <w:t>1</w:t>
          </w:r>
        </w:p>
      </w:tc>
      <w:tc>
        <w:tcPr>
          <w:tcW w:w="1705" w:type="dxa"/>
          <w:shd w:val="clear" w:color="auto" w:fill="auto"/>
        </w:tcPr>
        <w:p w14:paraId="1256C242" w14:textId="77777777" w:rsidR="00F0430E" w:rsidRPr="00156242" w:rsidRDefault="00F0430E" w:rsidP="00F0430E">
          <w:pPr>
            <w:pStyle w:val="Footer"/>
            <w:ind w:left="-119"/>
            <w:jc w:val="center"/>
            <w:rPr>
              <w:sz w:val="16"/>
              <w:szCs w:val="16"/>
            </w:rPr>
          </w:pPr>
          <w:r w:rsidRPr="00156242">
            <w:rPr>
              <w:sz w:val="16"/>
              <w:szCs w:val="16"/>
            </w:rPr>
            <w:fldChar w:fldCharType="begin"/>
          </w:r>
          <w:r w:rsidRPr="00156242">
            <w:rPr>
              <w:sz w:val="16"/>
              <w:szCs w:val="16"/>
            </w:rPr>
            <w:instrText xml:space="preserve"> PAGE </w:instrText>
          </w:r>
          <w:r w:rsidRPr="00156242">
            <w:rPr>
              <w:sz w:val="16"/>
              <w:szCs w:val="16"/>
            </w:rPr>
            <w:fldChar w:fldCharType="separate"/>
          </w:r>
          <w:r>
            <w:rPr>
              <w:noProof/>
              <w:sz w:val="16"/>
              <w:szCs w:val="16"/>
            </w:rPr>
            <w:t>1</w:t>
          </w:r>
          <w:r w:rsidRPr="00156242">
            <w:rPr>
              <w:sz w:val="16"/>
              <w:szCs w:val="16"/>
            </w:rPr>
            <w:fldChar w:fldCharType="end"/>
          </w:r>
          <w:r w:rsidRPr="00156242">
            <w:rPr>
              <w:sz w:val="16"/>
              <w:szCs w:val="16"/>
            </w:rPr>
            <w:t xml:space="preserve"> of </w:t>
          </w:r>
          <w:r w:rsidRPr="00156242">
            <w:rPr>
              <w:sz w:val="16"/>
              <w:szCs w:val="16"/>
            </w:rPr>
            <w:fldChar w:fldCharType="begin"/>
          </w:r>
          <w:r w:rsidRPr="00156242">
            <w:rPr>
              <w:sz w:val="16"/>
              <w:szCs w:val="16"/>
            </w:rPr>
            <w:instrText xml:space="preserve"> NUMPAGES </w:instrText>
          </w:r>
          <w:r w:rsidRPr="00156242">
            <w:rPr>
              <w:sz w:val="16"/>
              <w:szCs w:val="16"/>
            </w:rPr>
            <w:fldChar w:fldCharType="separate"/>
          </w:r>
          <w:r>
            <w:rPr>
              <w:noProof/>
              <w:sz w:val="16"/>
              <w:szCs w:val="16"/>
            </w:rPr>
            <w:t>1</w:t>
          </w:r>
          <w:r w:rsidRPr="00156242">
            <w:rPr>
              <w:sz w:val="16"/>
              <w:szCs w:val="16"/>
            </w:rPr>
            <w:fldChar w:fldCharType="end"/>
          </w:r>
        </w:p>
      </w:tc>
    </w:tr>
    <w:tr w:rsidR="00F0430E" w14:paraId="3936EFA4" w14:textId="77777777" w:rsidTr="005B7E44">
      <w:trPr>
        <w:trHeight w:val="295"/>
      </w:trPr>
      <w:tc>
        <w:tcPr>
          <w:tcW w:w="5133" w:type="dxa"/>
          <w:gridSpan w:val="3"/>
          <w:shd w:val="clear" w:color="auto" w:fill="auto"/>
        </w:tcPr>
        <w:p w14:paraId="7ECA78A9" w14:textId="77777777" w:rsidR="00F0430E" w:rsidRPr="00156242" w:rsidRDefault="00F0430E" w:rsidP="00F0430E">
          <w:pPr>
            <w:pStyle w:val="Footer"/>
            <w:ind w:left="-15"/>
            <w:rPr>
              <w:sz w:val="16"/>
              <w:szCs w:val="16"/>
            </w:rPr>
          </w:pPr>
          <w:r>
            <w:rPr>
              <w:sz w:val="16"/>
              <w:szCs w:val="16"/>
            </w:rPr>
            <w:t xml:space="preserve">Reason for Amendment: First Issue </w:t>
          </w:r>
        </w:p>
      </w:tc>
      <w:tc>
        <w:tcPr>
          <w:tcW w:w="5135" w:type="dxa"/>
          <w:gridSpan w:val="3"/>
          <w:shd w:val="clear" w:color="auto" w:fill="auto"/>
        </w:tcPr>
        <w:p w14:paraId="3883F411" w14:textId="77777777" w:rsidR="00F0430E" w:rsidRPr="00156242" w:rsidRDefault="00F0430E" w:rsidP="00F0430E">
          <w:pPr>
            <w:pStyle w:val="Footer"/>
            <w:rPr>
              <w:sz w:val="16"/>
              <w:szCs w:val="16"/>
            </w:rPr>
          </w:pPr>
          <w:r>
            <w:rPr>
              <w:sz w:val="16"/>
              <w:szCs w:val="16"/>
            </w:rPr>
            <w:t>Review Date: June 2022</w:t>
          </w:r>
        </w:p>
      </w:tc>
    </w:tr>
  </w:tbl>
  <w:p w14:paraId="0DC17563" w14:textId="77777777" w:rsidR="00AB3C74" w:rsidRDefault="00AB3C74">
    <w:pPr>
      <w:pStyle w:val="Footer"/>
    </w:pPr>
    <w:r>
      <w:rPr>
        <w:noProof/>
      </w:rPr>
      <w:drawing>
        <wp:inline distT="0" distB="0" distL="0" distR="0" wp14:anchorId="29A5C2A1" wp14:editId="57286DA8">
          <wp:extent cx="8192059" cy="8953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211224" cy="8974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FFF5D" w14:textId="77777777" w:rsidR="00097070" w:rsidRDefault="00097070" w:rsidP="00AB3C74">
      <w:pPr>
        <w:spacing w:line="240" w:lineRule="auto"/>
      </w:pPr>
      <w:r>
        <w:separator/>
      </w:r>
    </w:p>
  </w:footnote>
  <w:footnote w:type="continuationSeparator" w:id="0">
    <w:p w14:paraId="51107BE6" w14:textId="77777777" w:rsidR="00097070" w:rsidRDefault="00097070" w:rsidP="00AB3C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87D9C" w14:textId="77777777" w:rsidR="00BE6CAE" w:rsidRDefault="00BE6CAE">
    <w:pPr>
      <w:pStyle w:val="Header"/>
    </w:pPr>
    <w:r>
      <w:rPr>
        <w:noProof/>
      </w:rPr>
      <w:drawing>
        <wp:anchor distT="0" distB="0" distL="114300" distR="114300" simplePos="0" relativeHeight="251659264" behindDoc="0" locked="0" layoutInCell="1" allowOverlap="0" wp14:anchorId="025227EB" wp14:editId="24D20F68">
          <wp:simplePos x="0" y="0"/>
          <wp:positionH relativeFrom="page">
            <wp:posOffset>-19050</wp:posOffset>
          </wp:positionH>
          <wp:positionV relativeFrom="page">
            <wp:posOffset>9525</wp:posOffset>
          </wp:positionV>
          <wp:extent cx="7772400" cy="1670685"/>
          <wp:effectExtent l="0" t="0" r="0" b="5715"/>
          <wp:wrapTopAndBottom/>
          <wp:docPr id="1" name="Picture 1"/>
          <wp:cNvGraphicFramePr/>
          <a:graphic xmlns:a="http://schemas.openxmlformats.org/drawingml/2006/main">
            <a:graphicData uri="http://schemas.openxmlformats.org/drawingml/2006/picture">
              <pic:pic xmlns:pic="http://schemas.openxmlformats.org/drawingml/2006/picture">
                <pic:nvPicPr>
                  <pic:cNvPr id="5294" name=""/>
                  <pic:cNvPicPr/>
                </pic:nvPicPr>
                <pic:blipFill>
                  <a:blip r:embed="rId1"/>
                  <a:stretch>
                    <a:fillRect/>
                  </a:stretch>
                </pic:blipFill>
                <pic:spPr>
                  <a:xfrm>
                    <a:off x="0" y="0"/>
                    <a:ext cx="7772400" cy="16706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358EC"/>
    <w:multiLevelType w:val="hybridMultilevel"/>
    <w:tmpl w:val="95D6E042"/>
    <w:lvl w:ilvl="0" w:tplc="E4D45B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056FE"/>
    <w:multiLevelType w:val="hybridMultilevel"/>
    <w:tmpl w:val="C5B652E6"/>
    <w:lvl w:ilvl="0" w:tplc="71FADE2C">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A015297"/>
    <w:multiLevelType w:val="hybridMultilevel"/>
    <w:tmpl w:val="66D0C83E"/>
    <w:lvl w:ilvl="0" w:tplc="1EF2968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A4F0BFA"/>
    <w:multiLevelType w:val="hybridMultilevel"/>
    <w:tmpl w:val="93F24A98"/>
    <w:lvl w:ilvl="0" w:tplc="3AD6A0D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9E04ED"/>
    <w:multiLevelType w:val="hybridMultilevel"/>
    <w:tmpl w:val="59881712"/>
    <w:lvl w:ilvl="0" w:tplc="DD98AA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5AD0FF0"/>
    <w:multiLevelType w:val="hybridMultilevel"/>
    <w:tmpl w:val="88442656"/>
    <w:lvl w:ilvl="0" w:tplc="4DE47A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9C637D"/>
    <w:multiLevelType w:val="hybridMultilevel"/>
    <w:tmpl w:val="2974B818"/>
    <w:lvl w:ilvl="0" w:tplc="7B06103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E762E83"/>
    <w:multiLevelType w:val="hybridMultilevel"/>
    <w:tmpl w:val="706A2212"/>
    <w:lvl w:ilvl="0" w:tplc="22B6F550">
      <w:start w:val="1"/>
      <w:numFmt w:val="lowerLetter"/>
      <w:lvlText w:val="%1."/>
      <w:lvlJc w:val="left"/>
      <w:pPr>
        <w:tabs>
          <w:tab w:val="num" w:pos="1425"/>
        </w:tabs>
        <w:ind w:left="1425" w:hanging="360"/>
      </w:pPr>
      <w:rPr>
        <w:rFonts w:cs="Times New Roman"/>
      </w:rPr>
    </w:lvl>
    <w:lvl w:ilvl="1" w:tplc="AF12F6F4" w:tentative="1">
      <w:start w:val="1"/>
      <w:numFmt w:val="lowerLetter"/>
      <w:lvlText w:val="%2."/>
      <w:lvlJc w:val="left"/>
      <w:pPr>
        <w:tabs>
          <w:tab w:val="num" w:pos="2145"/>
        </w:tabs>
        <w:ind w:left="2145" w:hanging="360"/>
      </w:pPr>
      <w:rPr>
        <w:rFonts w:cs="Times New Roman"/>
      </w:rPr>
    </w:lvl>
    <w:lvl w:ilvl="2" w:tplc="384C4E24" w:tentative="1">
      <w:start w:val="1"/>
      <w:numFmt w:val="lowerRoman"/>
      <w:lvlText w:val="%3."/>
      <w:lvlJc w:val="right"/>
      <w:pPr>
        <w:tabs>
          <w:tab w:val="num" w:pos="2865"/>
        </w:tabs>
        <w:ind w:left="2865" w:hanging="180"/>
      </w:pPr>
      <w:rPr>
        <w:rFonts w:cs="Times New Roman"/>
      </w:rPr>
    </w:lvl>
    <w:lvl w:ilvl="3" w:tplc="0409000F" w:tentative="1">
      <w:start w:val="1"/>
      <w:numFmt w:val="decimal"/>
      <w:lvlText w:val="%4."/>
      <w:lvlJc w:val="left"/>
      <w:pPr>
        <w:tabs>
          <w:tab w:val="num" w:pos="3585"/>
        </w:tabs>
        <w:ind w:left="3585" w:hanging="360"/>
      </w:pPr>
      <w:rPr>
        <w:rFonts w:cs="Times New Roman"/>
      </w:rPr>
    </w:lvl>
    <w:lvl w:ilvl="4" w:tplc="04090019" w:tentative="1">
      <w:start w:val="1"/>
      <w:numFmt w:val="lowerLetter"/>
      <w:lvlText w:val="%5."/>
      <w:lvlJc w:val="left"/>
      <w:pPr>
        <w:tabs>
          <w:tab w:val="num" w:pos="4305"/>
        </w:tabs>
        <w:ind w:left="4305" w:hanging="360"/>
      </w:pPr>
      <w:rPr>
        <w:rFonts w:cs="Times New Roman"/>
      </w:rPr>
    </w:lvl>
    <w:lvl w:ilvl="5" w:tplc="0409001B" w:tentative="1">
      <w:start w:val="1"/>
      <w:numFmt w:val="lowerRoman"/>
      <w:lvlText w:val="%6."/>
      <w:lvlJc w:val="right"/>
      <w:pPr>
        <w:tabs>
          <w:tab w:val="num" w:pos="5025"/>
        </w:tabs>
        <w:ind w:left="5025" w:hanging="180"/>
      </w:pPr>
      <w:rPr>
        <w:rFonts w:cs="Times New Roman"/>
      </w:rPr>
    </w:lvl>
    <w:lvl w:ilvl="6" w:tplc="0409000F" w:tentative="1">
      <w:start w:val="1"/>
      <w:numFmt w:val="decimal"/>
      <w:lvlText w:val="%7."/>
      <w:lvlJc w:val="left"/>
      <w:pPr>
        <w:tabs>
          <w:tab w:val="num" w:pos="5745"/>
        </w:tabs>
        <w:ind w:left="5745" w:hanging="360"/>
      </w:pPr>
      <w:rPr>
        <w:rFonts w:cs="Times New Roman"/>
      </w:rPr>
    </w:lvl>
    <w:lvl w:ilvl="7" w:tplc="04090019" w:tentative="1">
      <w:start w:val="1"/>
      <w:numFmt w:val="lowerLetter"/>
      <w:lvlText w:val="%8."/>
      <w:lvlJc w:val="left"/>
      <w:pPr>
        <w:tabs>
          <w:tab w:val="num" w:pos="6465"/>
        </w:tabs>
        <w:ind w:left="6465" w:hanging="360"/>
      </w:pPr>
      <w:rPr>
        <w:rFonts w:cs="Times New Roman"/>
      </w:rPr>
    </w:lvl>
    <w:lvl w:ilvl="8" w:tplc="0409001B" w:tentative="1">
      <w:start w:val="1"/>
      <w:numFmt w:val="lowerRoman"/>
      <w:lvlText w:val="%9."/>
      <w:lvlJc w:val="right"/>
      <w:pPr>
        <w:tabs>
          <w:tab w:val="num" w:pos="7185"/>
        </w:tabs>
        <w:ind w:left="7185" w:hanging="180"/>
      </w:pPr>
      <w:rPr>
        <w:rFonts w:cs="Times New Roman"/>
      </w:rPr>
    </w:lvl>
  </w:abstractNum>
  <w:abstractNum w:abstractNumId="8" w15:restartNumberingAfterBreak="0">
    <w:nsid w:val="5E7A25BE"/>
    <w:multiLevelType w:val="hybridMultilevel"/>
    <w:tmpl w:val="0D96766A"/>
    <w:lvl w:ilvl="0" w:tplc="5E649F9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D4C4A26"/>
    <w:multiLevelType w:val="hybridMultilevel"/>
    <w:tmpl w:val="E8302278"/>
    <w:lvl w:ilvl="0" w:tplc="4B4AADE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7"/>
  </w:num>
  <w:num w:numId="3">
    <w:abstractNumId w:val="5"/>
  </w:num>
  <w:num w:numId="4">
    <w:abstractNumId w:val="4"/>
  </w:num>
  <w:num w:numId="5">
    <w:abstractNumId w:val="1"/>
  </w:num>
  <w:num w:numId="6">
    <w:abstractNumId w:val="9"/>
  </w:num>
  <w:num w:numId="7">
    <w:abstractNumId w:val="8"/>
  </w:num>
  <w:num w:numId="8">
    <w:abstractNumId w:val="3"/>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11"/>
    <w:rsid w:val="0004051C"/>
    <w:rsid w:val="00097070"/>
    <w:rsid w:val="00156411"/>
    <w:rsid w:val="00190914"/>
    <w:rsid w:val="00205E98"/>
    <w:rsid w:val="00210255"/>
    <w:rsid w:val="002234E6"/>
    <w:rsid w:val="0026140D"/>
    <w:rsid w:val="002F37AD"/>
    <w:rsid w:val="00324718"/>
    <w:rsid w:val="003257CC"/>
    <w:rsid w:val="00341538"/>
    <w:rsid w:val="00380194"/>
    <w:rsid w:val="003E6D74"/>
    <w:rsid w:val="00424B9A"/>
    <w:rsid w:val="00470376"/>
    <w:rsid w:val="00476F29"/>
    <w:rsid w:val="004873C1"/>
    <w:rsid w:val="005232F2"/>
    <w:rsid w:val="0057450F"/>
    <w:rsid w:val="0058405A"/>
    <w:rsid w:val="00601124"/>
    <w:rsid w:val="00613839"/>
    <w:rsid w:val="00664B84"/>
    <w:rsid w:val="0068463B"/>
    <w:rsid w:val="006A7D8A"/>
    <w:rsid w:val="006E1F1E"/>
    <w:rsid w:val="00747C98"/>
    <w:rsid w:val="00757B7B"/>
    <w:rsid w:val="00787DFB"/>
    <w:rsid w:val="008C77FE"/>
    <w:rsid w:val="0090427C"/>
    <w:rsid w:val="009E3E05"/>
    <w:rsid w:val="009F156A"/>
    <w:rsid w:val="00A736E2"/>
    <w:rsid w:val="00AB3C74"/>
    <w:rsid w:val="00AE496D"/>
    <w:rsid w:val="00BC1455"/>
    <w:rsid w:val="00BE6CAE"/>
    <w:rsid w:val="00DC6553"/>
    <w:rsid w:val="00DD1B77"/>
    <w:rsid w:val="00E0057C"/>
    <w:rsid w:val="00E85D26"/>
    <w:rsid w:val="00F0430E"/>
    <w:rsid w:val="00F306E8"/>
    <w:rsid w:val="00F9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B168F"/>
  <w15:docId w15:val="{0A171E47-62A1-4D41-B804-41A1C0EAC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56411"/>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C74"/>
    <w:pPr>
      <w:tabs>
        <w:tab w:val="center" w:pos="4680"/>
        <w:tab w:val="right" w:pos="9360"/>
      </w:tabs>
      <w:spacing w:line="240" w:lineRule="auto"/>
    </w:pPr>
  </w:style>
  <w:style w:type="character" w:customStyle="1" w:styleId="HeaderChar">
    <w:name w:val="Header Char"/>
    <w:basedOn w:val="DefaultParagraphFont"/>
    <w:link w:val="Header"/>
    <w:uiPriority w:val="99"/>
    <w:rsid w:val="00AB3C74"/>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AB3C74"/>
    <w:pPr>
      <w:tabs>
        <w:tab w:val="center" w:pos="4680"/>
        <w:tab w:val="right" w:pos="9360"/>
      </w:tabs>
      <w:spacing w:line="240" w:lineRule="auto"/>
    </w:pPr>
  </w:style>
  <w:style w:type="character" w:customStyle="1" w:styleId="FooterChar">
    <w:name w:val="Footer Char"/>
    <w:basedOn w:val="DefaultParagraphFont"/>
    <w:link w:val="Footer"/>
    <w:uiPriority w:val="99"/>
    <w:rsid w:val="00AB3C74"/>
    <w:rPr>
      <w:rFonts w:ascii="Times New Roman" w:eastAsia="Times New Roman" w:hAnsi="Times New Roman" w:cs="Times New Roman"/>
      <w:color w:val="000000"/>
      <w:sz w:val="20"/>
    </w:rPr>
  </w:style>
  <w:style w:type="paragraph" w:styleId="BalloonText">
    <w:name w:val="Balloon Text"/>
    <w:basedOn w:val="Normal"/>
    <w:link w:val="BalloonTextChar"/>
    <w:uiPriority w:val="99"/>
    <w:semiHidden/>
    <w:unhideWhenUsed/>
    <w:rsid w:val="00205E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E98"/>
    <w:rPr>
      <w:rFonts w:ascii="Segoe UI" w:eastAsia="Times New Roman" w:hAnsi="Segoe UI" w:cs="Segoe UI"/>
      <w:color w:val="000000"/>
      <w:sz w:val="18"/>
      <w:szCs w:val="18"/>
    </w:rPr>
  </w:style>
  <w:style w:type="paragraph" w:styleId="ListParagraph">
    <w:name w:val="List Paragraph"/>
    <w:basedOn w:val="Normal"/>
    <w:uiPriority w:val="34"/>
    <w:qFormat/>
    <w:rsid w:val="006A7D8A"/>
    <w:pPr>
      <w:ind w:left="720"/>
      <w:contextualSpacing/>
    </w:pPr>
  </w:style>
  <w:style w:type="character" w:styleId="Hyperlink">
    <w:name w:val="Hyperlink"/>
    <w:basedOn w:val="DefaultParagraphFont"/>
    <w:uiPriority w:val="99"/>
    <w:unhideWhenUsed/>
    <w:rsid w:val="006A7D8A"/>
    <w:rPr>
      <w:color w:val="0563C1" w:themeColor="hyperlink"/>
      <w:u w:val="single"/>
    </w:rPr>
  </w:style>
  <w:style w:type="table" w:styleId="TableGrid">
    <w:name w:val="Table Grid"/>
    <w:basedOn w:val="TableNormal"/>
    <w:uiPriority w:val="39"/>
    <w:rsid w:val="006A7D8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736E2"/>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CEEA9-2AAF-BA4E-9416-AAC7B1D76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942</Words>
  <Characters>5375</Characters>
  <Application>Microsoft Office Word</Application>
  <DocSecurity>0</DocSecurity>
  <Lines>44</Lines>
  <Paragraphs>12</Paragraphs>
  <ScaleCrop>false</ScaleCrop>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2</cp:revision>
  <dcterms:created xsi:type="dcterms:W3CDTF">2022-03-09T18:14:00Z</dcterms:created>
  <dcterms:modified xsi:type="dcterms:W3CDTF">2022-03-09T18:14:00Z</dcterms:modified>
</cp:coreProperties>
</file>